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4EF689C4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F214A6">
        <w:rPr>
          <w:sz w:val="22"/>
          <w:szCs w:val="22"/>
        </w:rPr>
        <w:t>2</w:t>
      </w:r>
      <w:r w:rsidR="00535328">
        <w:rPr>
          <w:sz w:val="22"/>
          <w:szCs w:val="22"/>
        </w:rPr>
        <w:t>2</w:t>
      </w:r>
      <w:r w:rsidRPr="1CFB04C3">
        <w:rPr>
          <w:sz w:val="22"/>
          <w:szCs w:val="22"/>
        </w:rPr>
        <w:t>.</w:t>
      </w:r>
      <w:r w:rsidR="0083371D">
        <w:rPr>
          <w:sz w:val="22"/>
          <w:szCs w:val="22"/>
        </w:rPr>
        <w:t>0</w:t>
      </w:r>
      <w:r w:rsidR="00535328">
        <w:rPr>
          <w:sz w:val="22"/>
          <w:szCs w:val="22"/>
        </w:rPr>
        <w:t>4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535328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20EB48BD" w14:textId="77777777" w:rsidR="004E77B1" w:rsidRDefault="004E77B1" w:rsidP="004E77B1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7D525193" w14:textId="77777777" w:rsidR="004E77B1" w:rsidRDefault="004E77B1" w:rsidP="004E77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konkursu ofert na u</w:t>
      </w:r>
      <w:r>
        <w:rPr>
          <w:b/>
          <w:sz w:val="22"/>
          <w:szCs w:val="22"/>
        </w:rPr>
        <w:t xml:space="preserve">dzielanie pielęgniarskich świadczeń zdrowotnych z zakresu zabezpieczenia zdrowia i życia pacjentów w trakcie realizowania transportu poprzez </w:t>
      </w:r>
    </w:p>
    <w:p w14:paraId="5A106937" w14:textId="77777777" w:rsidR="004E77B1" w:rsidRDefault="004E77B1" w:rsidP="004E77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Wyjazdowy Karetki typu „N”, </w:t>
      </w:r>
    </w:p>
    <w:p w14:paraId="42A143B7" w14:textId="77777777" w:rsidR="004E77B1" w:rsidRDefault="004E77B1" w:rsidP="004E77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22.04.2021 r. </w:t>
      </w: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5ACC5D5A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B30BDA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B30BDA">
        <w:rPr>
          <w:sz w:val="22"/>
          <w:szCs w:val="22"/>
        </w:rPr>
        <w:t xml:space="preserve">2 </w:t>
      </w:r>
      <w:r w:rsidR="00004FD1">
        <w:rPr>
          <w:sz w:val="22"/>
          <w:szCs w:val="22"/>
        </w:rPr>
        <w:t>(dwóch)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lastRenderedPageBreak/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4410" w14:textId="77777777" w:rsidR="008916B6" w:rsidRDefault="008916B6">
      <w:r>
        <w:separator/>
      </w:r>
    </w:p>
  </w:endnote>
  <w:endnote w:type="continuationSeparator" w:id="0">
    <w:p w14:paraId="1102FB13" w14:textId="77777777" w:rsidR="008916B6" w:rsidRDefault="008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CD5E" w14:textId="77777777" w:rsidR="008916B6" w:rsidRDefault="008916B6">
      <w:r>
        <w:separator/>
      </w:r>
    </w:p>
  </w:footnote>
  <w:footnote w:type="continuationSeparator" w:id="0">
    <w:p w14:paraId="58E6B884" w14:textId="77777777" w:rsidR="008916B6" w:rsidRDefault="0089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04FD1"/>
    <w:rsid w:val="00013D88"/>
    <w:rsid w:val="000152FB"/>
    <w:rsid w:val="00080FF7"/>
    <w:rsid w:val="000A4B3E"/>
    <w:rsid w:val="001773A6"/>
    <w:rsid w:val="001A2556"/>
    <w:rsid w:val="001D4698"/>
    <w:rsid w:val="00234D6F"/>
    <w:rsid w:val="00250D9A"/>
    <w:rsid w:val="002E68CF"/>
    <w:rsid w:val="00315AA6"/>
    <w:rsid w:val="00345D9F"/>
    <w:rsid w:val="00433BCA"/>
    <w:rsid w:val="0048485E"/>
    <w:rsid w:val="004E77B1"/>
    <w:rsid w:val="0051113A"/>
    <w:rsid w:val="00535328"/>
    <w:rsid w:val="0059091B"/>
    <w:rsid w:val="00622477"/>
    <w:rsid w:val="00675AF0"/>
    <w:rsid w:val="006B4761"/>
    <w:rsid w:val="00720D58"/>
    <w:rsid w:val="007822DB"/>
    <w:rsid w:val="00782780"/>
    <w:rsid w:val="00803F94"/>
    <w:rsid w:val="0083371D"/>
    <w:rsid w:val="00857E37"/>
    <w:rsid w:val="008878E9"/>
    <w:rsid w:val="008902CF"/>
    <w:rsid w:val="008916B6"/>
    <w:rsid w:val="00947A66"/>
    <w:rsid w:val="00A40AD8"/>
    <w:rsid w:val="00B073FA"/>
    <w:rsid w:val="00B30BDA"/>
    <w:rsid w:val="00B82D90"/>
    <w:rsid w:val="00B87099"/>
    <w:rsid w:val="00BB230C"/>
    <w:rsid w:val="00BD3CC1"/>
    <w:rsid w:val="00C76CEC"/>
    <w:rsid w:val="00C860EC"/>
    <w:rsid w:val="00DB6EA9"/>
    <w:rsid w:val="00DF21A8"/>
    <w:rsid w:val="00E00DCE"/>
    <w:rsid w:val="00E839D7"/>
    <w:rsid w:val="00E84368"/>
    <w:rsid w:val="00F1604B"/>
    <w:rsid w:val="00F214A6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77B1"/>
    <w:rPr>
      <w:rFonts w:ascii="Arial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Żarska</cp:lastModifiedBy>
  <cp:revision>18</cp:revision>
  <cp:lastPrinted>2020-02-20T17:19:00Z</cp:lastPrinted>
  <dcterms:created xsi:type="dcterms:W3CDTF">2018-06-18T10:32:00Z</dcterms:created>
  <dcterms:modified xsi:type="dcterms:W3CDTF">2021-04-22T09:40:00Z</dcterms:modified>
</cp:coreProperties>
</file>